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1907"/>
        <w:jc w:val="center"/>
        <w:tblLayout w:type="fixed"/>
        <w:tblLook w:firstColumn="1" w:firstRow="1" w:lastColumn="0" w:lastRow="0" w:noHBand="0" w:noVBand="1" w:val="04A0"/>
        <w:tblBorders>
          <w:top w:val="nil"/>
          <w:left w:val="nil"/>
          <w:bottom w:val="nil"/>
          <w:right w:val="nil"/>
          <w:insideH w:val="nil"/>
          <w:insideV w:val="nil"/>
        </w:tblBorders>
      </w:tblPr>
      <w:tblGrid>
        <w:gridCol w:w="7427"/>
        <w:gridCol w:w="4479"/>
      </w:tblGrid>
      <w:tr>
        <w:tc>
          <w:tcPr>
            <w:tcW w:type="dxa" w:w="7427"/>
            <w:shd w:fill="123F4B"/>
            <w:tcMar>
              <w:top w:w="210" w:type="dxa"/>
              <w:start w:w="330" w:type="dxa"/>
              <w:bottom w:w="190" w:type="dxa"/>
              <w:end w:w="330" w:type="dxa"/>
            </w:tcMar>
          </w:tcPr>
          <w:p>
            <w:pPr>
              <w:spacing w:after="0"/>
            </w:pPr>
            <w:r>
              <w:rPr>
                <w:rFonts w:ascii="Noto Sans" w:hAnsi="Noto Sans"/>
                <w:b/>
                <w:color w:val="FFFFFF"/>
                <w:sz w:val="45"/>
              </w:rPr>
              <w:t>HERI SUHENDAR</w:t>
            </w:r>
          </w:p>
          <w:p>
            <w:pPr>
              <w:spacing w:after="0"/>
            </w:pPr>
            <w:r>
              <w:rPr>
                <w:rFonts w:ascii="Noto Sans" w:hAnsi="Noto Sans"/>
                <w:b/>
                <w:color w:val="E1B350"/>
                <w:sz w:val="17"/>
              </w:rPr>
              <w:t>COMMUNITY DEVELOPMENT  •  VILLAGE GOVERNANCE  •  SOCIAL-ECONOMY</w:t>
            </w:r>
          </w:p>
        </w:tc>
        <w:tc>
          <w:tcPr>
            <w:tcW w:type="dxa" w:w="4479"/>
            <w:shd w:fill="1F9387"/>
            <w:tcMar>
              <w:top w:w="190" w:type="dxa"/>
              <w:start w:w="240" w:type="dxa"/>
              <w:bottom w:w="170" w:type="dxa"/>
              <w:end w:w="280" w:type="dxa"/>
            </w:tcMar>
          </w:tcPr>
          <w:p>
            <w:pPr>
              <w:spacing w:after="8"/>
              <w:jc w:val="right"/>
            </w:pPr>
            <w:r>
              <w:rPr>
                <w:rFonts w:ascii="Noto Sans" w:hAnsi="Noto Sans"/>
                <w:b/>
                <w:color w:val="FFFFFF"/>
                <w:sz w:val="15"/>
              </w:rPr>
              <w:t>0859 1066 70219</w:t>
            </w:r>
          </w:p>
          <w:p>
            <w:pPr>
              <w:spacing w:after="8"/>
              <w:jc w:val="right"/>
            </w:pPr>
            <w:r>
              <w:rPr>
                <w:rFonts w:ascii="Noto Sans" w:hAnsi="Noto Sans"/>
                <w:b w:val="0"/>
                <w:color w:val="FFFFFF"/>
                <w:sz w:val="15"/>
              </w:rPr>
              <w:t>herysuhendar49@gmail.com</w:t>
            </w:r>
          </w:p>
          <w:p>
            <w:pPr>
              <w:spacing w:after="8"/>
              <w:jc w:val="right"/>
            </w:pPr>
            <w:r>
              <w:rPr>
                <w:rFonts w:ascii="Noto Sans" w:hAnsi="Noto Sans"/>
                <w:b w:val="0"/>
                <w:color w:val="FFFFFF"/>
                <w:sz w:val="15"/>
              </w:rPr>
              <w:t>Komplek Ciputri Indah, Desa Ciputri</w:t>
            </w:r>
          </w:p>
          <w:p>
            <w:pPr>
              <w:spacing w:after="8"/>
              <w:jc w:val="right"/>
            </w:pPr>
            <w:r>
              <w:rPr>
                <w:rFonts w:ascii="Noto Sans" w:hAnsi="Noto Sans"/>
                <w:b w:val="0"/>
                <w:color w:val="FFFFFF"/>
                <w:sz w:val="15"/>
              </w:rPr>
              <w:t>Kaduhejo, Pandeglang 42253</w:t>
            </w:r>
          </w:p>
        </w:tc>
      </w:tr>
    </w:tbl>
    <w:tbl>
      <w:tblPr>
        <w:tblW w:type="dxa" w:w="11907"/>
        <w:jc w:val="center"/>
        <w:tblLayout w:type="fixed"/>
        <w:tblLook w:firstColumn="1" w:firstRow="1" w:lastColumn="0" w:lastRow="0" w:noHBand="0" w:noVBand="1" w:val="04A0"/>
        <w:tblBorders>
          <w:top w:val="nil"/>
          <w:left w:val="nil"/>
          <w:bottom w:val="nil"/>
          <w:right w:val="nil"/>
          <w:insideH w:val="nil"/>
          <w:insideV w:val="nil"/>
        </w:tblBorders>
      </w:tblPr>
      <w:tblGrid>
        <w:gridCol w:w="3543"/>
        <w:gridCol w:w="8362"/>
      </w:tblGrid>
      <w:tr>
        <w:trPr>
          <w:trHeight w:val="14003" w:hRule="atLeast"/>
        </w:trPr>
        <w:tc>
          <w:tcPr>
            <w:tcW w:type="dxa" w:w="3543"/>
            <w:shd w:fill="123F4B"/>
            <w:tcMar>
              <w:top w:w="170" w:type="dxa"/>
              <w:start w:w="260" w:type="dxa"/>
              <w:bottom w:w="160" w:type="dxa"/>
              <w:end w:w="250" w:type="dxa"/>
            </w:tcMar>
            <w:vAlign w:val="top"/>
          </w:tcPr>
          <w:p>
            <w:pPr>
              <w:spacing w:after="0"/>
              <w:jc w:val="center"/>
            </w:pPr>
            <w:r>
              <w:rPr>
                <w:rFonts w:ascii="Noto Sans" w:hAnsi="Noto Sans"/>
                <w:b/>
                <w:color w:val="E1B350"/>
                <w:sz w:val="42"/>
              </w:rPr>
              <w:t>HS</w:t>
            </w:r>
          </w:p>
          <w:p>
            <w:pPr>
              <w:spacing w:after="80"/>
              <w:jc w:val="center"/>
            </w:pPr>
            <w:r>
              <w:rPr>
                <w:rFonts w:ascii="Noto Sans" w:hAnsi="Noto Sans"/>
                <w:b/>
                <w:color w:val="C5D7D9"/>
                <w:sz w:val="14"/>
              </w:rPr>
              <w:t>PROFESSIONAL PROFILE</w:t>
            </w:r>
          </w:p>
          <w:p>
            <w:pPr>
              <w:spacing w:before="84" w:after="70"/>
              <w:pBdr>
                <w:bottom w:val="single" w:sz="4" w:space="1" w:color="526D76"/>
              </w:pBdr>
            </w:pPr>
            <w:r>
              <w:rPr>
                <w:rFonts w:ascii="Noto Sans" w:hAnsi="Noto Sans"/>
                <w:b/>
                <w:color w:val="E1B350"/>
                <w:sz w:val="19"/>
              </w:rPr>
              <w:t>PROFIL</w:t>
            </w:r>
          </w:p>
          <w:p>
            <w:pPr>
              <w:spacing w:after="60"/>
            </w:pPr>
            <w:r>
              <w:rPr>
                <w:rFonts w:ascii="Noto Sans" w:hAnsi="Noto Sans"/>
                <w:b w:val="0"/>
                <w:color w:val="EAF2F2"/>
                <w:sz w:val="15"/>
              </w:rPr>
              <w:t>Profesional pemerintahan desa dengan pengalaman lebih dari 10 tahun pada tata kelola, perencanaan pembangunan, koordinasi kelembagaan, pelayanan masyarakat, dan administrasi digital.</w:t>
            </w:r>
          </w:p>
          <w:p>
            <w:pPr>
              <w:spacing w:before="84" w:after="70"/>
              <w:pBdr>
                <w:bottom w:val="single" w:sz="4" w:space="1" w:color="526D76"/>
              </w:pBdr>
            </w:pPr>
            <w:r>
              <w:rPr>
                <w:rFonts w:ascii="Noto Sans" w:hAnsi="Noto Sans"/>
                <w:b/>
                <w:color w:val="E1B350"/>
                <w:sz w:val="19"/>
              </w:rPr>
              <w:t>KOMPETENSI INTI</w:t>
            </w:r>
          </w:p>
          <w:p>
            <w:pPr>
              <w:spacing w:after="24"/>
              <w:ind w:left="102" w:hanging="57"/>
            </w:pPr>
            <w:r>
              <w:rPr>
                <w:rFonts w:ascii="Noto Sans" w:hAnsi="Noto Sans"/>
                <w:b/>
                <w:color w:val="E1B350"/>
                <w:sz w:val="11"/>
              </w:rPr>
              <w:t xml:space="preserve">◆ </w:t>
            </w:r>
            <w:r>
              <w:rPr>
                <w:rFonts w:ascii="Noto Sans" w:hAnsi="Noto Sans"/>
                <w:b w:val="0"/>
                <w:color w:val="FFFFFF"/>
                <w:sz w:val="15"/>
              </w:rPr>
              <w:t>Community Development</w:t>
            </w:r>
          </w:p>
          <w:p>
            <w:pPr>
              <w:spacing w:after="24"/>
              <w:ind w:left="102" w:hanging="57"/>
            </w:pPr>
            <w:r>
              <w:rPr>
                <w:rFonts w:ascii="Noto Sans" w:hAnsi="Noto Sans"/>
                <w:b/>
                <w:color w:val="E1B350"/>
                <w:sz w:val="11"/>
              </w:rPr>
              <w:t xml:space="preserve">◆ </w:t>
            </w:r>
            <w:r>
              <w:rPr>
                <w:rFonts w:ascii="Noto Sans" w:hAnsi="Noto Sans"/>
                <w:b w:val="0"/>
                <w:color w:val="FFFFFF"/>
                <w:sz w:val="15"/>
              </w:rPr>
              <w:t>Pemberdayaan Masyarakat</w:t>
            </w:r>
          </w:p>
          <w:p>
            <w:pPr>
              <w:spacing w:after="24"/>
              <w:ind w:left="102" w:hanging="57"/>
            </w:pPr>
            <w:r>
              <w:rPr>
                <w:rFonts w:ascii="Noto Sans" w:hAnsi="Noto Sans"/>
                <w:b/>
                <w:color w:val="E1B350"/>
                <w:sz w:val="11"/>
              </w:rPr>
              <w:t xml:space="preserve">◆ </w:t>
            </w:r>
            <w:r>
              <w:rPr>
                <w:rFonts w:ascii="Noto Sans" w:hAnsi="Noto Sans"/>
                <w:b w:val="0"/>
                <w:color w:val="FFFFFF"/>
                <w:sz w:val="15"/>
              </w:rPr>
              <w:t>Koordinasi Stakeholder</w:t>
            </w:r>
          </w:p>
          <w:p>
            <w:pPr>
              <w:spacing w:after="24"/>
              <w:ind w:left="102" w:hanging="57"/>
            </w:pPr>
            <w:r>
              <w:rPr>
                <w:rFonts w:ascii="Noto Sans" w:hAnsi="Noto Sans"/>
                <w:b/>
                <w:color w:val="E1B350"/>
                <w:sz w:val="11"/>
              </w:rPr>
              <w:t xml:space="preserve">◆ </w:t>
            </w:r>
            <w:r>
              <w:rPr>
                <w:rFonts w:ascii="Noto Sans" w:hAnsi="Noto Sans"/>
                <w:b w:val="0"/>
                <w:color w:val="FFFFFF"/>
                <w:sz w:val="15"/>
              </w:rPr>
              <w:t>RPJMDes • RKPDes • APBDes</w:t>
            </w:r>
          </w:p>
          <w:p>
            <w:pPr>
              <w:spacing w:after="24"/>
              <w:ind w:left="102" w:hanging="57"/>
            </w:pPr>
            <w:r>
              <w:rPr>
                <w:rFonts w:ascii="Noto Sans" w:hAnsi="Noto Sans"/>
                <w:b/>
                <w:color w:val="E1B350"/>
                <w:sz w:val="11"/>
              </w:rPr>
              <w:t xml:space="preserve">◆ </w:t>
            </w:r>
            <w:r>
              <w:rPr>
                <w:rFonts w:ascii="Noto Sans" w:hAnsi="Noto Sans"/>
                <w:b w:val="0"/>
                <w:color w:val="FFFFFF"/>
                <w:sz w:val="15"/>
              </w:rPr>
              <w:t>Administrasi &amp; Pelaporan</w:t>
            </w:r>
          </w:p>
          <w:p>
            <w:pPr>
              <w:spacing w:after="24"/>
              <w:ind w:left="102" w:hanging="57"/>
            </w:pPr>
            <w:r>
              <w:rPr>
                <w:rFonts w:ascii="Noto Sans" w:hAnsi="Noto Sans"/>
                <w:b/>
                <w:color w:val="E1B350"/>
                <w:sz w:val="11"/>
              </w:rPr>
              <w:t xml:space="preserve">◆ </w:t>
            </w:r>
            <w:r>
              <w:rPr>
                <w:rFonts w:ascii="Noto Sans" w:hAnsi="Noto Sans"/>
                <w:b w:val="0"/>
                <w:color w:val="FFFFFF"/>
                <w:sz w:val="15"/>
              </w:rPr>
              <w:t>Problem Solving Lapangan</w:t>
            </w:r>
          </w:p>
          <w:p>
            <w:pPr>
              <w:spacing w:after="24"/>
              <w:ind w:left="102" w:hanging="57"/>
            </w:pPr>
            <w:r>
              <w:rPr>
                <w:rFonts w:ascii="Noto Sans" w:hAnsi="Noto Sans"/>
                <w:b/>
                <w:color w:val="E1B350"/>
                <w:sz w:val="11"/>
              </w:rPr>
              <w:t xml:space="preserve">◆ </w:t>
            </w:r>
            <w:r>
              <w:rPr>
                <w:rFonts w:ascii="Noto Sans" w:hAnsi="Noto Sans"/>
                <w:b w:val="0"/>
                <w:color w:val="FFFFFF"/>
                <w:sz w:val="15"/>
              </w:rPr>
              <w:t>Manajemen Program</w:t>
            </w:r>
          </w:p>
          <w:p>
            <w:pPr>
              <w:spacing w:after="24"/>
              <w:ind w:left="102" w:hanging="57"/>
            </w:pPr>
            <w:r>
              <w:rPr>
                <w:rFonts w:ascii="Noto Sans" w:hAnsi="Noto Sans"/>
                <w:b/>
                <w:color w:val="E1B350"/>
                <w:sz w:val="11"/>
              </w:rPr>
              <w:t xml:space="preserve">◆ </w:t>
            </w:r>
            <w:r>
              <w:rPr>
                <w:rFonts w:ascii="Noto Sans" w:hAnsi="Noto Sans"/>
                <w:b w:val="0"/>
                <w:color w:val="FFFFFF"/>
                <w:sz w:val="15"/>
              </w:rPr>
              <w:t>Komunikasi &amp; Liaison</w:t>
            </w:r>
          </w:p>
          <w:p>
            <w:pPr>
              <w:spacing w:before="84" w:after="70"/>
              <w:pBdr>
                <w:bottom w:val="single" w:sz="4" w:space="1" w:color="526D76"/>
              </w:pBdr>
            </w:pPr>
            <w:r>
              <w:rPr>
                <w:rFonts w:ascii="Noto Sans" w:hAnsi="Noto Sans"/>
                <w:b/>
                <w:color w:val="E1B350"/>
                <w:sz w:val="19"/>
              </w:rPr>
              <w:t>DIGITAL</w:t>
            </w:r>
          </w:p>
          <w:p>
            <w:pPr>
              <w:spacing w:after="21"/>
            </w:pPr>
            <w:r>
              <w:rPr>
                <w:rFonts w:ascii="Noto Sans" w:hAnsi="Noto Sans"/>
                <w:b w:val="0"/>
                <w:color w:val="EAF2F2"/>
                <w:sz w:val="15"/>
              </w:rPr>
              <w:t>HTML / PHP</w:t>
            </w:r>
          </w:p>
          <w:p>
            <w:pPr>
              <w:spacing w:after="21"/>
            </w:pPr>
            <w:r>
              <w:rPr>
                <w:rFonts w:ascii="Noto Sans" w:hAnsi="Noto Sans"/>
                <w:b w:val="0"/>
                <w:color w:val="EAF2F2"/>
                <w:sz w:val="15"/>
              </w:rPr>
              <w:t>Google Apps Script</w:t>
            </w:r>
          </w:p>
          <w:p>
            <w:pPr>
              <w:spacing w:after="21"/>
            </w:pPr>
            <w:r>
              <w:rPr>
                <w:rFonts w:ascii="Noto Sans" w:hAnsi="Noto Sans"/>
                <w:b w:val="0"/>
                <w:color w:val="EAF2F2"/>
                <w:sz w:val="15"/>
              </w:rPr>
              <w:t>Digitalisasi arsip</w:t>
            </w:r>
          </w:p>
          <w:p>
            <w:pPr>
              <w:spacing w:after="21"/>
            </w:pPr>
            <w:r>
              <w:rPr>
                <w:rFonts w:ascii="Noto Sans" w:hAnsi="Noto Sans"/>
                <w:b w:val="0"/>
                <w:color w:val="EAF2F2"/>
                <w:sz w:val="15"/>
              </w:rPr>
              <w:t>Aplikasi kas desa</w:t>
            </w:r>
          </w:p>
          <w:p>
            <w:pPr>
              <w:spacing w:before="84" w:after="70"/>
              <w:pBdr>
                <w:bottom w:val="single" w:sz="4" w:space="1" w:color="526D76"/>
              </w:pBdr>
            </w:pPr>
            <w:r>
              <w:rPr>
                <w:rFonts w:ascii="Noto Sans" w:hAnsi="Noto Sans"/>
                <w:b/>
                <w:color w:val="E1B350"/>
                <w:sz w:val="19"/>
              </w:rPr>
              <w:t>GAYA KERJA</w:t>
            </w:r>
          </w:p>
          <w:p>
            <w:pPr>
              <w:spacing w:after="20"/>
            </w:pPr>
            <w:r>
              <w:rPr>
                <w:rFonts w:ascii="Noto Sans" w:hAnsi="Noto Sans"/>
                <w:b w:val="0"/>
                <w:color w:val="EAF2F2"/>
                <w:sz w:val="15"/>
              </w:rPr>
              <w:t>Adaptif dan responsif</w:t>
            </w:r>
          </w:p>
          <w:p>
            <w:pPr>
              <w:spacing w:after="20"/>
            </w:pPr>
            <w:r>
              <w:rPr>
                <w:rFonts w:ascii="Noto Sans" w:hAnsi="Noto Sans"/>
                <w:b w:val="0"/>
                <w:color w:val="EAF2F2"/>
                <w:sz w:val="15"/>
              </w:rPr>
              <w:t>Teliti dan terstruktur</w:t>
            </w:r>
          </w:p>
          <w:p>
            <w:pPr>
              <w:spacing w:after="20"/>
            </w:pPr>
            <w:r>
              <w:rPr>
                <w:rFonts w:ascii="Noto Sans" w:hAnsi="Noto Sans"/>
                <w:b w:val="0"/>
                <w:color w:val="EAF2F2"/>
                <w:sz w:val="15"/>
              </w:rPr>
              <w:t>Kolaboratif</w:t>
            </w:r>
          </w:p>
          <w:p>
            <w:pPr>
              <w:spacing w:after="20"/>
            </w:pPr>
            <w:r>
              <w:rPr>
                <w:rFonts w:ascii="Noto Sans" w:hAnsi="Noto Sans"/>
                <w:b w:val="0"/>
                <w:color w:val="EAF2F2"/>
                <w:sz w:val="15"/>
              </w:rPr>
              <w:t>Terbiasa bekerja di lapangan</w:t>
            </w:r>
          </w:p>
        </w:tc>
        <w:tc>
          <w:tcPr>
            <w:tcW w:type="dxa" w:w="8363"/>
            <w:shd w:fill="FFFFFF"/>
            <w:tcMar>
              <w:top w:w="155" w:type="dxa"/>
              <w:start w:w="360" w:type="dxa"/>
              <w:bottom w:w="155" w:type="dxa"/>
              <w:end w:w="350" w:type="dxa"/>
            </w:tcMar>
            <w:vAlign w:val="top"/>
          </w:tcPr>
          <w:p/>
          <w:p>
            <w:pPr>
              <w:spacing w:before="84" w:after="70"/>
              <w:pBdr>
                <w:bottom w:val="single" w:sz="4" w:space="1" w:color="D8E5E6"/>
              </w:pBdr>
            </w:pPr>
            <w:r>
              <w:rPr>
                <w:rFonts w:ascii="Noto Sans" w:hAnsi="Noto Sans"/>
                <w:b/>
                <w:color w:val="123F4B"/>
                <w:sz w:val="19"/>
              </w:rPr>
              <w:t>RINGKASAN PROFESIONAL</w:t>
            </w:r>
          </w:p>
          <w:p>
            <w:pPr>
              <w:spacing w:after="90"/>
            </w:pPr>
            <w:r>
              <w:rPr>
                <w:rFonts w:ascii="Noto Sans" w:hAnsi="Noto Sans"/>
                <w:b w:val="0"/>
                <w:color w:val="2F3D42"/>
                <w:sz w:val="16"/>
              </w:rPr>
              <w:t>Berpengalaman mengelola pemerintahan desa, dokumen perencanaan strategis, koordinasi lintas fungsi, pelayanan masyarakat, serta program pemberdayaan. Pengalaman di Genta Foundation dan Saung Desa Berdaya memperkuat kapasitas dalam eksekusi program dan koordinasi stakeholder.</w:t>
            </w:r>
          </w:p>
          <w:p>
            <w:pPr>
              <w:spacing w:before="84" w:after="70"/>
              <w:pBdr>
                <w:bottom w:val="single" w:sz="4" w:space="1" w:color="D8E5E6"/>
              </w:pBdr>
            </w:pPr>
            <w:r>
              <w:rPr>
                <w:rFonts w:ascii="Noto Sans" w:hAnsi="Noto Sans"/>
                <w:b/>
                <w:color w:val="123F4B"/>
                <w:sz w:val="19"/>
              </w:rPr>
              <w:t>PENGALAMAN PROFESIONAL</w:t>
            </w:r>
          </w:p>
          <w:p>
            <w:pPr>
              <w:spacing w:before="30" w:after="16"/>
            </w:pPr>
            <w:r>
              <w:rPr>
                <w:rFonts w:ascii="Noto Sans" w:hAnsi="Noto Sans"/>
                <w:b/>
                <w:color w:val="1F9387"/>
                <w:sz w:val="18"/>
              </w:rPr>
              <w:t>SEKRETARIS DESA — DESA CIHERANG, KEC. PICUNG</w:t>
            </w:r>
            <w:r>
              <w:rPr>
                <w:rFonts w:ascii="Noto Sans" w:hAnsi="Noto Sans"/>
                <w:b/>
                <w:color w:val="65757B"/>
                <w:sz w:val="15"/>
              </w:rPr>
              <w:t xml:space="preserve">   2015 – Sekarang</w:t>
            </w:r>
          </w:p>
          <w:p>
            <w:pPr>
              <w:spacing w:after="32"/>
              <w:ind w:left="159" w:hanging="102"/>
            </w:pPr>
            <w:r>
              <w:rPr>
                <w:rFonts w:ascii="Noto Sans" w:hAnsi="Noto Sans"/>
                <w:b/>
                <w:color w:val="1F9387"/>
                <w:sz w:val="16"/>
              </w:rPr>
              <w:t xml:space="preserve">• </w:t>
            </w:r>
            <w:r>
              <w:rPr>
                <w:rFonts w:ascii="Noto Sans" w:hAnsi="Noto Sans"/>
                <w:b w:val="0"/>
                <w:color w:val="2F3D42"/>
                <w:sz w:val="16"/>
              </w:rPr>
              <w:t>Memimpin tata kelola administrasi desa dan penyusunan RPJMDes, RKPDes, serta APBDes.</w:t>
            </w:r>
          </w:p>
          <w:p>
            <w:pPr>
              <w:spacing w:after="32"/>
              <w:ind w:left="159" w:hanging="102"/>
            </w:pPr>
            <w:r>
              <w:rPr>
                <w:rFonts w:ascii="Noto Sans" w:hAnsi="Noto Sans"/>
                <w:b/>
                <w:color w:val="1F9387"/>
                <w:sz w:val="16"/>
              </w:rPr>
              <w:t xml:space="preserve">• </w:t>
            </w:r>
            <w:r>
              <w:rPr>
                <w:rFonts w:ascii="Noto Sans" w:hAnsi="Noto Sans"/>
                <w:b w:val="0"/>
                <w:color w:val="2F3D42"/>
                <w:sz w:val="16"/>
              </w:rPr>
              <w:t>Menginisiasi digitalisasi arsip dan aplikasi kas desa berbasis HTML/PHP/Google Apps Script.</w:t>
            </w:r>
          </w:p>
          <w:p>
            <w:pPr>
              <w:spacing w:after="32"/>
              <w:ind w:left="159" w:hanging="102"/>
            </w:pPr>
            <w:r>
              <w:rPr>
                <w:rFonts w:ascii="Noto Sans" w:hAnsi="Noto Sans"/>
                <w:b/>
                <w:color w:val="1F9387"/>
                <w:sz w:val="16"/>
              </w:rPr>
              <w:t xml:space="preserve">• </w:t>
            </w:r>
            <w:r>
              <w:rPr>
                <w:rFonts w:ascii="Noto Sans" w:hAnsi="Noto Sans"/>
                <w:b w:val="0"/>
                <w:color w:val="2F3D42"/>
                <w:sz w:val="16"/>
              </w:rPr>
              <w:t>Mengkoordinasikan kerja pemerintahan desa serta merespons kebutuhan dan pengaduan masyarakat.</w:t>
            </w:r>
          </w:p>
          <w:p>
            <w:pPr>
              <w:spacing w:before="30" w:after="16"/>
            </w:pPr>
            <w:r>
              <w:rPr>
                <w:rFonts w:ascii="Noto Sans" w:hAnsi="Noto Sans"/>
                <w:b/>
                <w:color w:val="1F9387"/>
                <w:sz w:val="18"/>
              </w:rPr>
              <w:t>MANAGER PROGRAM — GENTA FOUNDATION</w:t>
            </w:r>
            <w:r>
              <w:rPr>
                <w:rFonts w:ascii="Noto Sans" w:hAnsi="Noto Sans"/>
                <w:b/>
                <w:color w:val="65757B"/>
                <w:sz w:val="15"/>
              </w:rPr>
              <w:t xml:space="preserve">   2011 – 2012</w:t>
            </w:r>
          </w:p>
          <w:p>
            <w:pPr>
              <w:spacing w:after="32"/>
              <w:ind w:left="159" w:hanging="102"/>
            </w:pPr>
            <w:r>
              <w:rPr>
                <w:rFonts w:ascii="Noto Sans" w:hAnsi="Noto Sans"/>
                <w:b/>
                <w:color w:val="1F9387"/>
                <w:sz w:val="16"/>
              </w:rPr>
              <w:t xml:space="preserve">• </w:t>
            </w:r>
            <w:r>
              <w:rPr>
                <w:rFonts w:ascii="Noto Sans" w:hAnsi="Noto Sans"/>
                <w:b w:val="0"/>
                <w:color w:val="2F3D42"/>
                <w:sz w:val="16"/>
              </w:rPr>
              <w:t>Menyusun dan mengeksekusi program pemberdayaan masyarakat serta berkoordinasi dengan instansi terkait.</w:t>
            </w:r>
          </w:p>
          <w:p>
            <w:pPr>
              <w:spacing w:before="30" w:after="16"/>
            </w:pPr>
            <w:r>
              <w:rPr>
                <w:rFonts w:ascii="Noto Sans" w:hAnsi="Noto Sans"/>
                <w:b/>
                <w:color w:val="1F9387"/>
                <w:sz w:val="18"/>
              </w:rPr>
              <w:t>KOORDINATOR — SAUNG DESA BERDAYA</w:t>
            </w:r>
            <w:r>
              <w:rPr>
                <w:rFonts w:ascii="Noto Sans" w:hAnsi="Noto Sans"/>
                <w:b/>
                <w:color w:val="65757B"/>
                <w:sz w:val="15"/>
              </w:rPr>
              <w:t xml:space="preserve">   2019</w:t>
            </w:r>
          </w:p>
          <w:p>
            <w:pPr>
              <w:spacing w:after="32"/>
              <w:ind w:left="159" w:hanging="102"/>
            </w:pPr>
            <w:r>
              <w:rPr>
                <w:rFonts w:ascii="Noto Sans" w:hAnsi="Noto Sans"/>
                <w:b/>
                <w:color w:val="1F9387"/>
                <w:sz w:val="16"/>
              </w:rPr>
              <w:t xml:space="preserve">• </w:t>
            </w:r>
            <w:r>
              <w:rPr>
                <w:rFonts w:ascii="Noto Sans" w:hAnsi="Noto Sans"/>
                <w:b w:val="0"/>
                <w:color w:val="2F3D42"/>
                <w:sz w:val="16"/>
              </w:rPr>
              <w:t>Mengkoordinasikan program kelembagaan, pemberdayaan masyarakat, dan komunikasi dengan stakeholder.</w:t>
            </w:r>
          </w:p>
          <w:p>
            <w:pPr>
              <w:spacing w:before="30" w:after="16"/>
            </w:pPr>
            <w:r>
              <w:rPr>
                <w:rFonts w:ascii="Noto Sans" w:hAnsi="Noto Sans"/>
                <w:b/>
                <w:color w:val="1F9387"/>
                <w:sz w:val="18"/>
              </w:rPr>
              <w:t>ASISTEN PERSONAL ANGGOTA DEWAN — FRAKSI PAN</w:t>
            </w:r>
            <w:r>
              <w:rPr>
                <w:rFonts w:ascii="Noto Sans" w:hAnsi="Noto Sans"/>
                <w:b/>
                <w:color w:val="65757B"/>
                <w:sz w:val="15"/>
              </w:rPr>
              <w:t xml:space="preserve">   2012 – 2015</w:t>
            </w:r>
          </w:p>
          <w:p>
            <w:pPr>
              <w:spacing w:after="32"/>
              <w:ind w:left="159" w:hanging="102"/>
            </w:pPr>
            <w:r>
              <w:rPr>
                <w:rFonts w:ascii="Noto Sans" w:hAnsi="Noto Sans"/>
                <w:b/>
                <w:color w:val="1F9387"/>
                <w:sz w:val="16"/>
              </w:rPr>
              <w:t xml:space="preserve">• </w:t>
            </w:r>
            <w:r>
              <w:rPr>
                <w:rFonts w:ascii="Noto Sans" w:hAnsi="Noto Sans"/>
                <w:b w:val="0"/>
                <w:color w:val="2F3D42"/>
                <w:sz w:val="16"/>
              </w:rPr>
              <w:t>Mengelola agenda, bahan rapat, briefing, kunjungan kerja, audiensi, persuratan, dan koordinasi lapangan.</w:t>
            </w:r>
          </w:p>
          <w:p>
            <w:pPr>
              <w:spacing w:before="84" w:after="70"/>
              <w:pBdr>
                <w:bottom w:val="single" w:sz="4" w:space="1" w:color="D8E5E6"/>
              </w:pBdr>
            </w:pPr>
            <w:r>
              <w:rPr>
                <w:rFonts w:ascii="Noto Sans" w:hAnsi="Noto Sans"/>
                <w:b/>
                <w:color w:val="123F4B"/>
                <w:sz w:val="19"/>
              </w:rPr>
              <w:t>KONTRIBUSI TERPILIH</w:t>
            </w:r>
          </w:p>
          <w:tbl>
            <w:tblPr>
              <w:tblW w:type="dxa" w:w="7881"/>
              <w:jc w:val="center"/>
              <w:tblLayout w:type="fixed"/>
              <w:tblLook w:firstColumn="1" w:firstRow="1" w:lastColumn="0" w:lastRow="0" w:noHBand="0" w:noVBand="1" w:val="04A0"/>
              <w:tblBorders>
                <w:top w:val="nil"/>
                <w:left w:val="nil"/>
                <w:bottom w:val="nil"/>
                <w:right w:val="nil"/>
                <w:insideH w:val="nil"/>
                <w:insideV w:val="nil"/>
              </w:tblBorders>
            </w:tblPr>
            <w:tblGrid>
              <w:gridCol w:w="3912"/>
              <w:gridCol w:w="3969"/>
            </w:tblGrid>
            <w:tr>
              <w:tc>
                <w:tcPr>
                  <w:tcW w:type="dxa" w:w="3912"/>
                  <w:shd w:fill="EEF5F3"/>
                  <w:tcMar>
                    <w:top w:w="80" w:type="dxa"/>
                    <w:start w:w="120" w:type="dxa"/>
                    <w:bottom w:w="75" w:type="dxa"/>
                    <w:end w:w="120" w:type="dxa"/>
                  </w:tcMar>
                </w:tcPr>
                <w:p>
                  <w:r>
                    <w:rPr>
                      <w:rFonts w:ascii="Noto Sans" w:hAnsi="Noto Sans"/>
                      <w:b/>
                      <w:color w:val="1F9387"/>
                      <w:sz w:val="15"/>
                    </w:rPr>
                    <w:t>PERENCANAAN DESA</w:t>
                  </w:r>
                </w:p>
                <w:p>
                  <w:pPr>
                    <w:spacing w:after="0"/>
                  </w:pPr>
                  <w:r>
                    <w:rPr>
                      <w:rFonts w:ascii="Noto Sans" w:hAnsi="Noto Sans"/>
                      <w:b w:val="0"/>
                      <w:color w:val="2F3D42"/>
                      <w:sz w:val="15"/>
                    </w:rPr>
                    <w:t>Penyusunan dan pengelolaan dokumen RPJMDes, RKPDes, dan APBDes.</w:t>
                  </w:r>
                </w:p>
              </w:tc>
              <w:tc>
                <w:tcPr>
                  <w:tcW w:type="dxa" w:w="3969"/>
                  <w:shd w:fill="EEF5F3"/>
                  <w:tcMar>
                    <w:top w:w="80" w:type="dxa"/>
                    <w:start w:w="120" w:type="dxa"/>
                    <w:bottom w:w="75" w:type="dxa"/>
                    <w:end w:w="120" w:type="dxa"/>
                  </w:tcMar>
                </w:tcPr>
                <w:p>
                  <w:r>
                    <w:rPr>
                      <w:rFonts w:ascii="Noto Sans" w:hAnsi="Noto Sans"/>
                      <w:b/>
                      <w:color w:val="1F9387"/>
                      <w:sz w:val="15"/>
                    </w:rPr>
                    <w:t>DIGITALISASI</w:t>
                  </w:r>
                </w:p>
                <w:p>
                  <w:pPr>
                    <w:spacing w:after="0"/>
                  </w:pPr>
                  <w:r>
                    <w:rPr>
                      <w:rFonts w:ascii="Noto Sans" w:hAnsi="Noto Sans"/>
                      <w:b w:val="0"/>
                      <w:color w:val="2F3D42"/>
                      <w:sz w:val="15"/>
                    </w:rPr>
                    <w:t>Inisiatif arsip digital dan aplikasi kas desa untuk mempercepat alur kerja.</w:t>
                  </w:r>
                </w:p>
              </w:tc>
            </w:tr>
            <w:tr>
              <w:tc>
                <w:tcPr>
                  <w:tcW w:type="dxa" w:w="3912"/>
                  <w:shd w:fill="EEF5F3"/>
                  <w:tcMar>
                    <w:top w:w="80" w:type="dxa"/>
                    <w:start w:w="120" w:type="dxa"/>
                    <w:bottom w:w="75" w:type="dxa"/>
                    <w:end w:w="120" w:type="dxa"/>
                  </w:tcMar>
                </w:tcPr>
                <w:p>
                  <w:r>
                    <w:rPr>
                      <w:rFonts w:ascii="Noto Sans" w:hAnsi="Noto Sans"/>
                      <w:b/>
                      <w:color w:val="1F9387"/>
                      <w:sz w:val="15"/>
                    </w:rPr>
                    <w:t>PEMBERDAYAAN</w:t>
                  </w:r>
                </w:p>
                <w:p>
                  <w:pPr>
                    <w:spacing w:after="0"/>
                  </w:pPr>
                  <w:r>
                    <w:rPr>
                      <w:rFonts w:ascii="Noto Sans" w:hAnsi="Noto Sans"/>
                      <w:b w:val="0"/>
                      <w:color w:val="2F3D42"/>
                      <w:sz w:val="15"/>
                    </w:rPr>
                    <w:t>Pengalaman program masyarakat melalui Genta Foundation dan Saung Desa Berdaya.</w:t>
                  </w:r>
                </w:p>
              </w:tc>
              <w:tc>
                <w:tcPr>
                  <w:tcW w:type="dxa" w:w="3969"/>
                  <w:shd w:fill="EEF5F3"/>
                  <w:tcMar>
                    <w:top w:w="80" w:type="dxa"/>
                    <w:start w:w="120" w:type="dxa"/>
                    <w:bottom w:w="75" w:type="dxa"/>
                    <w:end w:w="120" w:type="dxa"/>
                  </w:tcMar>
                </w:tcPr>
                <w:p>
                  <w:r>
                    <w:rPr>
                      <w:rFonts w:ascii="Noto Sans" w:hAnsi="Noto Sans"/>
                      <w:b/>
                      <w:color w:val="1F9387"/>
                      <w:sz w:val="15"/>
                    </w:rPr>
                    <w:t>KOORDINASI</w:t>
                  </w:r>
                </w:p>
                <w:p>
                  <w:pPr>
                    <w:spacing w:after="0"/>
                  </w:pPr>
                  <w:r>
                    <w:rPr>
                      <w:rFonts w:ascii="Noto Sans" w:hAnsi="Noto Sans"/>
                      <w:b w:val="0"/>
                      <w:color w:val="2F3D42"/>
                      <w:sz w:val="15"/>
                    </w:rPr>
                    <w:t>Terbiasa menghubungkan kebutuhan warga, pemerintah desa, lembaga, dan pihak eksternal.</w:t>
                  </w:r>
                </w:p>
              </w:tc>
            </w:tr>
          </w:tbl>
          <w:p/>
          <w:p>
            <w:pPr>
              <w:spacing w:before="80"/>
              <w:jc w:val="right"/>
            </w:pPr>
            <w:r>
              <w:rPr>
                <w:rFonts w:ascii="Noto Sans" w:hAnsi="Noto Sans"/>
                <w:b/>
                <w:color w:val="65757B"/>
                <w:sz w:val="14"/>
              </w:rPr>
              <w:t>Target posisi: Community Development &amp; Social-Economy</w:t>
            </w:r>
          </w:p>
        </w:tc>
      </w:tr>
    </w:tbl>
    <w:sectPr w:rsidR="00FC693F" w:rsidRPr="0006063C" w:rsidSect="00034616">
      <w:footerReference w:type="default" r:id="rId9"/>
      <w:pgSz w:w="11906" w:h="16838"/>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Noto Sans" w:hAnsi="Noto Sans"/>
        <w:b w:val="0"/>
        <w:color w:val="65757B"/>
        <w:sz w:val="13"/>
      </w:rPr>
      <w:t>Curriculum Vitae — Heri Suhendar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35" w:lineRule="auto"/>
    </w:pPr>
    <w:rPr>
      <w:rFonts w:ascii="Noto Sans" w:hAnsi="Noto Sans"/>
      <w:color w:val="2F3D42"/>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